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i w:val="1"/>
          <w:sz w:val="36"/>
          <w:szCs w:val="36"/>
        </w:rPr>
      </w:pPr>
      <w:r w:rsidDel="00000000" w:rsidR="00000000" w:rsidRPr="00000000">
        <w:rPr>
          <w:rFonts w:ascii="Calibri" w:cs="Calibri" w:eastAsia="Calibri" w:hAnsi="Calibri"/>
          <w:sz w:val="44"/>
          <w:szCs w:val="44"/>
          <w:rtl w:val="0"/>
        </w:rPr>
        <w:t xml:space="preserve">Bokslut för Tamam Tranås</w:t>
        <w:br w:type="textWrapping"/>
      </w:r>
      <w:r w:rsidDel="00000000" w:rsidR="00000000" w:rsidRPr="00000000">
        <w:rPr>
          <w:rFonts w:ascii="Calibri" w:cs="Calibri" w:eastAsia="Calibri" w:hAnsi="Calibri"/>
          <w:i w:val="1"/>
          <w:sz w:val="36"/>
          <w:szCs w:val="36"/>
          <w:rtl w:val="0"/>
        </w:rPr>
        <w:t xml:space="preserve">Förvaltningsberättelse 2024</w:t>
      </w:r>
    </w:p>
    <w:p w:rsidR="00000000" w:rsidDel="00000000" w:rsidP="00000000" w:rsidRDefault="00000000" w:rsidRPr="00000000" w14:paraId="0000000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Under 2024 har Tamam Tranås använt kassörens bank, där ett separat konto för föreningens medel har upprättats. Kassören har under året betalat fakturor och gjort utlägg för föreningens räkning, men vissa utlägg har även gjorts via Tamam riks. Tidigare års skulder till riksorganisationen har kvittats mot Tamam Tranås fordran på Tamam riks. Efter denna justering kvarstår ett belopp om 7 606 kronor som Tamam riks ska betala till Tamam Tranås. Föreningens huvudsakliga kostnad under året har varit hallhyra för futsalverksamheten.</w:t>
      </w:r>
      <w:r w:rsidDel="00000000" w:rsidR="00000000" w:rsidRPr="00000000">
        <w:rPr>
          <w:rtl w:val="0"/>
        </w:rPr>
      </w:r>
    </w:p>
    <w:p w:rsidR="00000000" w:rsidDel="00000000" w:rsidP="00000000" w:rsidRDefault="00000000" w:rsidRPr="00000000" w14:paraId="00000003">
      <w:pPr>
        <w:spacing w:after="200"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Resultaträkning</w:t>
      </w:r>
    </w:p>
    <w:tbl>
      <w:tblPr>
        <w:tblStyle w:val="Table1"/>
        <w:tblW w:w="95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80"/>
        <w:gridCol w:w="1680"/>
        <w:gridCol w:w="120"/>
        <w:gridCol w:w="2100"/>
        <w:gridCol w:w="2160"/>
        <w:tblGridChange w:id="0">
          <w:tblGrid>
            <w:gridCol w:w="3480"/>
            <w:gridCol w:w="1680"/>
            <w:gridCol w:w="120"/>
            <w:gridCol w:w="2100"/>
            <w:gridCol w:w="21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4">
            <w:pPr>
              <w:widowControl w:val="0"/>
              <w:rPr>
                <w:b w:val="1"/>
                <w:sz w:val="20"/>
                <w:szCs w:val="20"/>
              </w:rPr>
            </w:pPr>
            <w:r w:rsidDel="00000000" w:rsidR="00000000" w:rsidRPr="00000000">
              <w:rPr>
                <w:rFonts w:ascii="Calibri" w:cs="Calibri" w:eastAsia="Calibri" w:hAnsi="Calibri"/>
                <w:b w:val="1"/>
                <w:rtl w:val="0"/>
              </w:rPr>
              <w:t xml:space="preserve">Beskrivning</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5">
            <w:pPr>
              <w:widowControl w:val="0"/>
              <w:rPr>
                <w:b w:val="1"/>
                <w:sz w:val="20"/>
                <w:szCs w:val="20"/>
              </w:rPr>
            </w:pPr>
            <w:r w:rsidDel="00000000" w:rsidR="00000000" w:rsidRPr="00000000">
              <w:rPr>
                <w:rFonts w:ascii="Calibri" w:cs="Calibri" w:eastAsia="Calibri" w:hAnsi="Calibri"/>
                <w:b w:val="1"/>
                <w:rtl w:val="0"/>
              </w:rPr>
              <w:t xml:space="preserve">Utgifter</w:t>
            </w:r>
            <w:r w:rsidDel="00000000" w:rsidR="00000000" w:rsidRPr="00000000">
              <w:rPr>
                <w:rtl w:val="0"/>
              </w:rPr>
            </w:r>
          </w:p>
        </w:tc>
        <w:tc>
          <w:tcPr>
            <w:vMerge w:val="restart"/>
            <w:tcBorders>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6">
            <w:pPr>
              <w:widowControl w:val="0"/>
              <w:rPr>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widowControl w:val="0"/>
              <w:rPr>
                <w:b w:val="1"/>
                <w:sz w:val="20"/>
                <w:szCs w:val="20"/>
              </w:rPr>
            </w:pPr>
            <w:r w:rsidDel="00000000" w:rsidR="00000000" w:rsidRPr="00000000">
              <w:rPr>
                <w:rFonts w:ascii="Calibri" w:cs="Calibri" w:eastAsia="Calibri" w:hAnsi="Calibri"/>
                <w:b w:val="1"/>
                <w:rtl w:val="0"/>
              </w:rPr>
              <w:t xml:space="preserve">Beskrivning</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8">
            <w:pPr>
              <w:widowControl w:val="0"/>
              <w:rPr>
                <w:b w:val="1"/>
                <w:sz w:val="20"/>
                <w:szCs w:val="20"/>
              </w:rPr>
            </w:pPr>
            <w:r w:rsidDel="00000000" w:rsidR="00000000" w:rsidRPr="00000000">
              <w:rPr>
                <w:rFonts w:ascii="Calibri" w:cs="Calibri" w:eastAsia="Calibri" w:hAnsi="Calibri"/>
                <w:b w:val="1"/>
                <w:rtl w:val="0"/>
              </w:rPr>
              <w:t xml:space="preserve">Inkomster</w:t>
            </w:r>
            <w:r w:rsidDel="00000000" w:rsidR="00000000" w:rsidRPr="00000000">
              <w:rPr>
                <w:rtl w:val="0"/>
              </w:rPr>
            </w:r>
          </w:p>
        </w:tc>
      </w:tr>
      <w:tr>
        <w:trPr>
          <w:cantSplit w:val="0"/>
          <w:trHeight w:val="765"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Fonts w:ascii="Calibri" w:cs="Calibri" w:eastAsia="Calibri" w:hAnsi="Calibri"/>
                <w:rtl w:val="0"/>
              </w:rPr>
              <w:t xml:space="preserve">Kostnader aktiviteter (Skuld riks)</w:t>
            </w:r>
            <w:r w:rsidDel="00000000" w:rsidR="00000000" w:rsidRPr="00000000">
              <w:rPr>
                <w:rtl w:val="0"/>
              </w:rPr>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A">
            <w:pPr>
              <w:widowControl w:val="0"/>
              <w:jc w:val="right"/>
              <w:rPr>
                <w:sz w:val="20"/>
                <w:szCs w:val="20"/>
              </w:rPr>
            </w:pPr>
            <w:r w:rsidDel="00000000" w:rsidR="00000000" w:rsidRPr="00000000">
              <w:rPr>
                <w:sz w:val="20"/>
                <w:szCs w:val="20"/>
                <w:rtl w:val="0"/>
              </w:rPr>
              <w:t xml:space="preserve">6402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Fonts w:ascii="Calibri" w:cs="Calibri" w:eastAsia="Calibri" w:hAnsi="Calibri"/>
                <w:rtl w:val="0"/>
              </w:rPr>
              <w:t xml:space="preserve">Lokalföreningsbidrag 2024</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D">
            <w:pPr>
              <w:widowControl w:val="0"/>
              <w:jc w:val="right"/>
              <w:rPr>
                <w:sz w:val="20"/>
                <w:szCs w:val="20"/>
              </w:rPr>
            </w:pPr>
            <w:r w:rsidDel="00000000" w:rsidR="00000000" w:rsidRPr="00000000">
              <w:rPr>
                <w:rFonts w:ascii="Calibri" w:cs="Calibri" w:eastAsia="Calibri" w:hAnsi="Calibri"/>
                <w:rtl w:val="0"/>
              </w:rPr>
              <w:t xml:space="preserve">6016</w:t>
            </w: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Calibri" w:cs="Calibri" w:eastAsia="Calibri" w:hAnsi="Calibri"/>
                <w:rtl w:val="0"/>
              </w:rPr>
              <w:t xml:space="preserve">Hallhyra futsal</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widowControl w:val="0"/>
              <w:jc w:val="right"/>
              <w:rPr>
                <w:sz w:val="20"/>
                <w:szCs w:val="20"/>
              </w:rPr>
            </w:pPr>
            <w:r w:rsidDel="00000000" w:rsidR="00000000" w:rsidRPr="00000000">
              <w:rPr>
                <w:rFonts w:ascii="Calibri" w:cs="Calibri" w:eastAsia="Calibri" w:hAnsi="Calibri"/>
                <w:rtl w:val="0"/>
              </w:rPr>
              <w:t xml:space="preserve">4024</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2">
            <w:pPr>
              <w:widowControl w:val="0"/>
              <w:jc w:val="right"/>
              <w:rPr>
                <w:sz w:val="20"/>
                <w:szCs w:val="20"/>
              </w:rPr>
            </w:pP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4">
            <w:pPr>
              <w:widowControl w:val="0"/>
              <w:jc w:val="right"/>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Fonts w:ascii="Calibri" w:cs="Calibri" w:eastAsia="Calibri" w:hAnsi="Calibri"/>
                <w:rtl w:val="0"/>
              </w:rPr>
              <w:t xml:space="preserve">Ränta</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widowControl w:val="0"/>
              <w:jc w:val="right"/>
              <w:rPr>
                <w:sz w:val="20"/>
                <w:szCs w:val="20"/>
              </w:rPr>
            </w:pPr>
            <w:r w:rsidDel="00000000" w:rsidR="00000000" w:rsidRPr="00000000">
              <w:rPr>
                <w:rFonts w:ascii="Calibri" w:cs="Calibri" w:eastAsia="Calibri" w:hAnsi="Calibri"/>
                <w:rtl w:val="0"/>
              </w:rPr>
              <w:t xml:space="preserve">4,03</w:t>
            </w: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8">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9">
            <w:pPr>
              <w:widowControl w:val="0"/>
              <w:jc w:val="right"/>
              <w:rPr>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B">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C">
            <w:pPr>
              <w:widowControl w:val="0"/>
              <w:jc w:val="right"/>
              <w:rPr>
                <w:sz w:val="20"/>
                <w:szCs w:val="20"/>
              </w:rPr>
            </w:pP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Calibri" w:cs="Calibri" w:eastAsia="Calibri" w:hAnsi="Calibri"/>
                <w:b w:val="1"/>
                <w:rtl w:val="0"/>
              </w:rPr>
              <w:t xml:space="preserve">Summa</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E">
            <w:pPr>
              <w:widowControl w:val="0"/>
              <w:jc w:val="right"/>
              <w:rPr>
                <w:sz w:val="20"/>
                <w:szCs w:val="20"/>
              </w:rPr>
            </w:pPr>
            <w:r w:rsidDel="00000000" w:rsidR="00000000" w:rsidRPr="00000000">
              <w:rPr>
                <w:rFonts w:ascii="Calibri" w:cs="Calibri" w:eastAsia="Calibri" w:hAnsi="Calibri"/>
                <w:b w:val="1"/>
                <w:rtl w:val="0"/>
              </w:rPr>
              <w:t xml:space="preserve">10426</w:t>
            </w:r>
            <w:r w:rsidDel="00000000" w:rsidR="00000000" w:rsidRPr="00000000">
              <w:rPr>
                <w:rtl w:val="0"/>
              </w:rPr>
            </w:r>
          </w:p>
        </w:tc>
        <w:tc>
          <w:tcPr>
            <w:tcBorders>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Calibri" w:cs="Calibri" w:eastAsia="Calibri" w:hAnsi="Calibri"/>
                <w:b w:val="1"/>
                <w:rtl w:val="0"/>
              </w:rPr>
              <w:t xml:space="preserve">Summa</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1">
            <w:pPr>
              <w:widowControl w:val="0"/>
              <w:jc w:val="right"/>
              <w:rPr>
                <w:sz w:val="20"/>
                <w:szCs w:val="20"/>
              </w:rPr>
            </w:pPr>
            <w:r w:rsidDel="00000000" w:rsidR="00000000" w:rsidRPr="00000000">
              <w:rPr>
                <w:rFonts w:ascii="Calibri" w:cs="Calibri" w:eastAsia="Calibri" w:hAnsi="Calibri"/>
                <w:b w:val="1"/>
                <w:rtl w:val="0"/>
              </w:rPr>
              <w:t xml:space="preserve">6020,03</w:t>
            </w:r>
            <w:r w:rsidDel="00000000" w:rsidR="00000000" w:rsidRPr="00000000">
              <w:rPr>
                <w:rtl w:val="0"/>
              </w:rPr>
            </w:r>
          </w:p>
        </w:tc>
      </w:tr>
      <w:tr>
        <w:trPr>
          <w:cantSplit w:val="0"/>
          <w:trHeight w:val="300" w:hRule="atLeast"/>
          <w:tblHeader w:val="0"/>
        </w:trPr>
        <w:tc>
          <w:tcPr>
            <w:tcBorders>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*Tamam Riks har betalat utlägg vid aktiviteter under 2024 åt Tamam Tranås. Utlägg rör futsalgruppen (hyra) och arvode till revisor).</w:t>
            </w:r>
          </w:p>
        </w:tc>
        <w:tc>
          <w:tcPr>
            <w:tcBorders>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3">
            <w:pPr>
              <w:widowControl w:val="0"/>
              <w:jc w:val="right"/>
              <w:rPr>
                <w:sz w:val="20"/>
                <w:szCs w:val="20"/>
              </w:rPr>
            </w:pPr>
            <w:r w:rsidDel="00000000" w:rsidR="00000000" w:rsidRPr="00000000">
              <w:rPr>
                <w:rtl w:val="0"/>
              </w:rPr>
            </w:r>
          </w:p>
        </w:tc>
        <w:tc>
          <w:tcPr>
            <w:tcBorders>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c>
          <w:tcPr>
            <w:tcBorders>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tl w:val="0"/>
              </w:rPr>
            </w:r>
          </w:p>
        </w:tc>
        <w:tc>
          <w:tcPr>
            <w:tcBorders>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jc w:val="right"/>
              <w:rPr>
                <w:sz w:val="20"/>
                <w:szCs w:val="20"/>
              </w:rPr>
            </w:pPr>
            <w:r w:rsidDel="00000000" w:rsidR="00000000" w:rsidRPr="00000000">
              <w:rPr>
                <w:rtl w:val="0"/>
              </w:rPr>
            </w:r>
          </w:p>
        </w:tc>
      </w:tr>
      <w:tr>
        <w:trPr>
          <w:cantSplit w:val="0"/>
          <w:trHeight w:val="300" w:hRule="atLeast"/>
          <w:tblHeader w:val="0"/>
        </w:trPr>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widowControl w:val="0"/>
              <w:jc w:val="right"/>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2B">
            <w:pPr>
              <w:widowControl w:val="0"/>
              <w:jc w:val="right"/>
              <w:rPr>
                <w:sz w:val="20"/>
                <w:szCs w:val="20"/>
              </w:rPr>
            </w:pPr>
            <w:r w:rsidDel="00000000" w:rsidR="00000000" w:rsidRPr="00000000">
              <w:rPr>
                <w:rtl w:val="0"/>
              </w:rPr>
            </w:r>
          </w:p>
        </w:tc>
      </w:tr>
      <w:tr>
        <w:trPr>
          <w:cantSplit w:val="0"/>
          <w:trHeight w:val="765"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b w:val="1"/>
                <w:rtl w:val="0"/>
              </w:rPr>
              <w:t xml:space="preserve">Årets underskott/överskott</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widowControl w:val="0"/>
              <w:jc w:val="right"/>
              <w:rPr>
                <w:sz w:val="20"/>
                <w:szCs w:val="20"/>
              </w:rPr>
            </w:pPr>
            <w:r w:rsidDel="00000000" w:rsidR="00000000" w:rsidRPr="00000000">
              <w:rPr>
                <w:rFonts w:ascii="Calibri" w:cs="Calibri" w:eastAsia="Calibri" w:hAnsi="Calibri"/>
                <w:b w:val="1"/>
                <w:rtl w:val="0"/>
              </w:rPr>
              <w:t xml:space="preserve">−4405,97</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0">
            <w:pPr>
              <w:widowControl w:val="0"/>
              <w:jc w:val="right"/>
              <w:rPr>
                <w:sz w:val="20"/>
                <w:szCs w:val="20"/>
              </w:rPr>
            </w:pPr>
            <w:r w:rsidDel="00000000" w:rsidR="00000000" w:rsidRPr="00000000">
              <w:rPr>
                <w:rtl w:val="0"/>
              </w:rPr>
            </w:r>
          </w:p>
        </w:tc>
      </w:tr>
      <w:tr>
        <w:trPr>
          <w:cantSplit w:val="0"/>
          <w:trHeight w:val="300" w:hRule="atLeast"/>
          <w:tblHeader w:val="0"/>
        </w:trPr>
        <w:tc>
          <w:tcPr>
            <w:shd w:fill="auto" w:val="clear"/>
            <w:tcMar>
              <w:top w:w="0.0" w:type="dxa"/>
              <w:left w:w="40.0" w:type="dxa"/>
              <w:bottom w:w="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jc w:val="right"/>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5">
            <w:pPr>
              <w:widowControl w:val="0"/>
              <w:jc w:val="right"/>
              <w:rPr>
                <w:sz w:val="20"/>
                <w:szCs w:val="20"/>
              </w:rPr>
            </w:pPr>
            <w:r w:rsidDel="00000000" w:rsidR="00000000" w:rsidRPr="00000000">
              <w:rPr>
                <w:rtl w:val="0"/>
              </w:rPr>
            </w:r>
          </w:p>
        </w:tc>
      </w:tr>
      <w:tr>
        <w:trPr>
          <w:cantSplit w:val="0"/>
          <w:trHeight w:val="405" w:hRule="atLeast"/>
          <w:tblHeader w:val="0"/>
        </w:trPr>
        <w:tc>
          <w:tcPr>
            <w:tcBorders>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36">
            <w:pPr>
              <w:widowControl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Balansräkning</w:t>
            </w:r>
          </w:p>
        </w:tc>
        <w:tc>
          <w:tcPr>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jc w:val="right"/>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jc w:val="right"/>
              <w:rPr>
                <w:sz w:val="20"/>
                <w:szCs w:val="20"/>
              </w:rPr>
            </w:pPr>
            <w:r w:rsidDel="00000000" w:rsidR="00000000" w:rsidRPr="00000000">
              <w:rPr>
                <w:rtl w:val="0"/>
              </w:rPr>
            </w:r>
          </w:p>
        </w:tc>
      </w:tr>
      <w:tr>
        <w:trPr>
          <w:cantSplit w:val="0"/>
          <w:trHeight w:val="300" w:hRule="atLeast"/>
          <w:tblHeader w:val="0"/>
        </w:trPr>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jc w:val="right"/>
              <w:rPr>
                <w:sz w:val="20"/>
                <w:szCs w:val="2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jc w:val="right"/>
              <w:rPr>
                <w:sz w:val="20"/>
                <w:szCs w:val="20"/>
              </w:rPr>
            </w:pPr>
            <w:r w:rsidDel="00000000" w:rsidR="00000000" w:rsidRPr="00000000">
              <w:rPr>
                <w:rtl w:val="0"/>
              </w:rPr>
            </w:r>
          </w:p>
        </w:tc>
      </w:tr>
      <w:tr>
        <w:trPr>
          <w:cantSplit w:val="0"/>
          <w:trHeight w:val="30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rPr>
                <w:b w:val="1"/>
                <w:sz w:val="20"/>
                <w:szCs w:val="20"/>
              </w:rPr>
            </w:pPr>
            <w:r w:rsidDel="00000000" w:rsidR="00000000" w:rsidRPr="00000000">
              <w:rPr>
                <w:rFonts w:ascii="Calibri" w:cs="Calibri" w:eastAsia="Calibri" w:hAnsi="Calibri"/>
                <w:b w:val="1"/>
                <w:rtl w:val="0"/>
              </w:rPr>
              <w:t xml:space="preserve">Beskrivning</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jc w:val="right"/>
              <w:rPr>
                <w:b w:val="1"/>
                <w:sz w:val="20"/>
                <w:szCs w:val="20"/>
              </w:rPr>
            </w:pPr>
            <w:r w:rsidDel="00000000" w:rsidR="00000000" w:rsidRPr="00000000">
              <w:rPr>
                <w:rFonts w:ascii="Calibri" w:cs="Calibri" w:eastAsia="Calibri" w:hAnsi="Calibri"/>
                <w:b w:val="1"/>
                <w:rtl w:val="0"/>
              </w:rPr>
              <w:t xml:space="preserve">Tillgångar</w:t>
            </w:r>
            <w:r w:rsidDel="00000000" w:rsidR="00000000" w:rsidRPr="00000000">
              <w:rPr>
                <w:rtl w:val="0"/>
              </w:rPr>
            </w:r>
          </w:p>
        </w:tc>
        <w:tc>
          <w:tcPr>
            <w:vMerge w:val="restart"/>
            <w:tcBorders>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2">
            <w:pPr>
              <w:widowControl w:val="0"/>
              <w:rPr>
                <w:b w:val="1"/>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widowControl w:val="0"/>
              <w:rPr>
                <w:b w:val="1"/>
                <w:sz w:val="20"/>
                <w:szCs w:val="20"/>
              </w:rPr>
            </w:pPr>
            <w:r w:rsidDel="00000000" w:rsidR="00000000" w:rsidRPr="00000000">
              <w:rPr>
                <w:rFonts w:ascii="Calibri" w:cs="Calibri" w:eastAsia="Calibri" w:hAnsi="Calibri"/>
                <w:b w:val="1"/>
                <w:rtl w:val="0"/>
              </w:rPr>
              <w:t xml:space="preserve">Beskrivning</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jc w:val="right"/>
              <w:rPr>
                <w:b w:val="1"/>
                <w:sz w:val="20"/>
                <w:szCs w:val="20"/>
              </w:rPr>
            </w:pPr>
            <w:r w:rsidDel="00000000" w:rsidR="00000000" w:rsidRPr="00000000">
              <w:rPr>
                <w:rFonts w:ascii="Calibri" w:cs="Calibri" w:eastAsia="Calibri" w:hAnsi="Calibri"/>
                <w:b w:val="1"/>
                <w:rtl w:val="0"/>
              </w:rPr>
              <w:t xml:space="preserve">Skulder</w:t>
            </w:r>
            <w:r w:rsidDel="00000000" w:rsidR="00000000" w:rsidRPr="00000000">
              <w:rPr>
                <w:rtl w:val="0"/>
              </w:rPr>
            </w:r>
          </w:p>
        </w:tc>
      </w:tr>
      <w:tr>
        <w:trPr>
          <w:cantSplit w:val="0"/>
          <w:trHeight w:val="765"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Calibri" w:cs="Calibri" w:eastAsia="Calibri" w:hAnsi="Calibri"/>
                <w:rtl w:val="0"/>
              </w:rPr>
              <w:t xml:space="preserve">Kassa och bank</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widowControl w:val="0"/>
              <w:jc w:val="right"/>
              <w:rPr>
                <w:sz w:val="20"/>
                <w:szCs w:val="20"/>
              </w:rPr>
            </w:pPr>
            <w:r w:rsidDel="00000000" w:rsidR="00000000" w:rsidRPr="00000000">
              <w:rPr>
                <w:sz w:val="20"/>
                <w:szCs w:val="20"/>
                <w:rtl w:val="0"/>
              </w:rPr>
              <w:t xml:space="preserve">5353,85</w:t>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Calibri" w:cs="Calibri" w:eastAsia="Calibri" w:hAnsi="Calibri"/>
                <w:rtl w:val="0"/>
              </w:rPr>
              <w:t xml:space="preserve">Ingående eget kapital föregående år</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jc w:val="right"/>
              <w:rPr>
                <w:sz w:val="20"/>
                <w:szCs w:val="20"/>
              </w:rPr>
            </w:pPr>
            <w:r w:rsidDel="00000000" w:rsidR="00000000" w:rsidRPr="00000000">
              <w:rPr>
                <w:rFonts w:ascii="Calibri" w:cs="Calibri" w:eastAsia="Calibri" w:hAnsi="Calibri"/>
                <w:b w:val="1"/>
                <w:rtl w:val="0"/>
              </w:rPr>
              <w:t xml:space="preserve">17365,82</w:t>
            </w:r>
            <w:r w:rsidDel="00000000" w:rsidR="00000000" w:rsidRPr="00000000">
              <w:rPr>
                <w:rtl w:val="0"/>
              </w:rPr>
            </w:r>
          </w:p>
        </w:tc>
      </w:tr>
      <w:tr>
        <w:trPr>
          <w:cantSplit w:val="0"/>
          <w:trHeight w:val="662.6757812499999"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jc w:val="right"/>
              <w:rPr>
                <w:sz w:val="20"/>
                <w:szCs w:val="20"/>
              </w:rPr>
            </w:pP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Calibri" w:cs="Calibri" w:eastAsia="Calibri" w:hAnsi="Calibri"/>
                <w:rtl w:val="0"/>
              </w:rPr>
              <w:t xml:space="preserve">Årets under-/överskott</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jc w:val="right"/>
              <w:rPr>
                <w:sz w:val="20"/>
                <w:szCs w:val="20"/>
              </w:rPr>
            </w:pPr>
            <w:r w:rsidDel="00000000" w:rsidR="00000000" w:rsidRPr="00000000">
              <w:rPr>
                <w:rFonts w:ascii="Calibri" w:cs="Calibri" w:eastAsia="Calibri" w:hAnsi="Calibri"/>
                <w:b w:val="1"/>
                <w:rtl w:val="0"/>
              </w:rPr>
              <w:t xml:space="preserve">−4405,97</w:t>
            </w:r>
            <w:r w:rsidDel="00000000" w:rsidR="00000000" w:rsidRPr="00000000">
              <w:rPr>
                <w:rtl w:val="0"/>
              </w:rPr>
            </w:r>
          </w:p>
        </w:tc>
      </w:tr>
      <w:tr>
        <w:trPr>
          <w:cantSplit w:val="0"/>
          <w:trHeight w:val="480"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Fonts w:ascii="Calibri" w:cs="Calibri" w:eastAsia="Calibri" w:hAnsi="Calibri"/>
                <w:rtl w:val="0"/>
              </w:rPr>
              <w:t xml:space="preserve">Fordringar</w:t>
            </w:r>
            <w:r w:rsidDel="00000000" w:rsidR="00000000" w:rsidRPr="00000000">
              <w:rPr>
                <w:rFonts w:ascii="Calibri" w:cs="Calibri" w:eastAsia="Calibri" w:hAnsi="Calibri"/>
                <w:rtl w:val="0"/>
              </w:rPr>
              <w:t xml:space="preserve"> &amp; upplupna intäkter*</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jc w:val="right"/>
              <w:rPr>
                <w:sz w:val="20"/>
                <w:szCs w:val="20"/>
              </w:rPr>
            </w:pPr>
            <w:r w:rsidDel="00000000" w:rsidR="00000000" w:rsidRPr="00000000">
              <w:rPr>
                <w:rFonts w:ascii="Calibri" w:cs="Calibri" w:eastAsia="Calibri" w:hAnsi="Calibri"/>
                <w:rtl w:val="0"/>
              </w:rPr>
              <w:t xml:space="preserve">7606</w:t>
            </w:r>
            <w:r w:rsidDel="00000000" w:rsidR="00000000" w:rsidRPr="00000000">
              <w:rPr>
                <w:rtl w:val="0"/>
              </w:rPr>
            </w:r>
          </w:p>
        </w:tc>
        <w:tc>
          <w:tcPr>
            <w:vMerge w:val="continue"/>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jc w:val="right"/>
              <w:rPr>
                <w:sz w:val="20"/>
                <w:szCs w:val="20"/>
              </w:rPr>
            </w:pPr>
            <w:r w:rsidDel="00000000" w:rsidR="00000000" w:rsidRPr="00000000">
              <w:rPr>
                <w:rtl w:val="0"/>
              </w:rPr>
            </w:r>
          </w:p>
        </w:tc>
      </w:tr>
      <w:tr>
        <w:trPr>
          <w:cantSplit w:val="0"/>
          <w:trHeight w:val="405"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Fonts w:ascii="Calibri" w:cs="Calibri" w:eastAsia="Calibri" w:hAnsi="Calibri"/>
                <w:b w:val="1"/>
                <w:rtl w:val="0"/>
              </w:rPr>
              <w:t xml:space="preserve">Summa</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jc w:val="right"/>
              <w:rPr/>
            </w:pPr>
            <w:r w:rsidDel="00000000" w:rsidR="00000000" w:rsidRPr="00000000">
              <w:rPr>
                <w:rFonts w:ascii="Calibri" w:cs="Calibri" w:eastAsia="Calibri" w:hAnsi="Calibri"/>
                <w:b w:val="1"/>
                <w:rtl w:val="0"/>
              </w:rPr>
              <w:t xml:space="preserve">12959,85</w:t>
            </w:r>
            <w:r w:rsidDel="00000000" w:rsidR="00000000" w:rsidRPr="00000000">
              <w:rPr>
                <w:rtl w:val="0"/>
              </w:rPr>
            </w:r>
          </w:p>
        </w:tc>
        <w:tc>
          <w:tcPr>
            <w:tcBorders>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widowControl w:val="0"/>
              <w:rPr/>
            </w:pP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rPr/>
            </w:pPr>
            <w:r w:rsidDel="00000000" w:rsidR="00000000" w:rsidRPr="00000000">
              <w:rPr>
                <w:rFonts w:ascii="Calibri" w:cs="Calibri" w:eastAsia="Calibri" w:hAnsi="Calibri"/>
                <w:b w:val="1"/>
                <w:rtl w:val="0"/>
              </w:rPr>
              <w:t xml:space="preserve">Summa</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widowControl w:val="0"/>
              <w:jc w:val="right"/>
              <w:rPr/>
            </w:pPr>
            <w:r w:rsidDel="00000000" w:rsidR="00000000" w:rsidRPr="00000000">
              <w:rPr>
                <w:rFonts w:ascii="Calibri" w:cs="Calibri" w:eastAsia="Calibri" w:hAnsi="Calibri"/>
                <w:b w:val="1"/>
                <w:rtl w:val="0"/>
              </w:rPr>
              <w:t xml:space="preserve">12959,85</w:t>
            </w:r>
            <w:r w:rsidDel="00000000" w:rsidR="00000000" w:rsidRPr="00000000">
              <w:rPr>
                <w:rtl w:val="0"/>
              </w:rPr>
            </w:r>
          </w:p>
        </w:tc>
      </w:tr>
      <w:tr>
        <w:trPr>
          <w:cantSplit w:val="0"/>
          <w:trHeight w:val="300" w:hRule="atLeast"/>
          <w:tblHeader w:val="0"/>
        </w:trPr>
        <w:tc>
          <w:tcPr>
            <w:tcBorders>
              <w:right w:color="000000" w:space="0" w:sz="6" w:val="single"/>
            </w:tcBorders>
            <w:shd w:fill="auto" w:val="clear"/>
            <w:tcMar>
              <w:top w:w="0.0" w:type="dxa"/>
              <w:left w:w="0.0" w:type="dxa"/>
              <w:bottom w:w="0.0" w:type="dxa"/>
              <w:right w:w="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*se bilaga nästa sida</w:t>
            </w:r>
          </w:p>
        </w:tc>
        <w:tc>
          <w:tcPr>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jc w:val="right"/>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rPr/>
            </w:pPr>
            <w:r w:rsidDel="00000000" w:rsidR="00000000" w:rsidRPr="00000000">
              <w:rPr>
                <w:rtl w:val="0"/>
              </w:rPr>
            </w:r>
          </w:p>
        </w:tc>
      </w:tr>
      <w:tr>
        <w:trPr>
          <w:cantSplit w:val="0"/>
          <w:trHeight w:val="300" w:hRule="atLeast"/>
          <w:tblHeader w:val="0"/>
        </w:trPr>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jc w:val="right"/>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r>
          </w:p>
        </w:tc>
      </w:tr>
      <w:tr>
        <w:trPr>
          <w:cantSplit w:val="0"/>
          <w:trHeight w:val="405" w:hRule="atLeast"/>
          <w:tblHeader w:val="0"/>
        </w:trPr>
        <w:tc>
          <w:tcPr>
            <w:tcBorders>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Calibri" w:cs="Calibri" w:eastAsia="Calibri" w:hAnsi="Calibri"/>
                <w:b w:val="1"/>
                <w:rtl w:val="0"/>
              </w:rPr>
              <w:t xml:space="preserve">Eget kapital</w:t>
            </w:r>
            <w:r w:rsidDel="00000000" w:rsidR="00000000" w:rsidRPr="00000000">
              <w:rPr>
                <w:rtl w:val="0"/>
              </w:rPr>
            </w:r>
          </w:p>
        </w:tc>
        <w:tc>
          <w:tcPr>
            <w:tcBorders>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4">
            <w:pPr>
              <w:widowControl w:val="0"/>
              <w:jc w:val="right"/>
              <w:rPr/>
            </w:pPr>
            <w:r w:rsidDel="00000000" w:rsidR="00000000" w:rsidRPr="00000000">
              <w:rPr>
                <w:rFonts w:ascii="Calibri" w:cs="Calibri" w:eastAsia="Calibri" w:hAnsi="Calibri"/>
                <w:b w:val="1"/>
                <w:rtl w:val="0"/>
              </w:rPr>
              <w:t xml:space="preserve">12959,85</w:t>
            </w: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rPr/>
            </w:pPr>
            <w:r w:rsidDel="00000000" w:rsidR="00000000" w:rsidRPr="00000000">
              <w:rPr>
                <w:rtl w:val="0"/>
              </w:rPr>
            </w:r>
          </w:p>
        </w:tc>
        <w:tc>
          <w:tcPr>
            <w:tcBorders>
              <w:bottom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r>
          </w:p>
        </w:tc>
        <w:tc>
          <w:tcPr>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Fordringar och upplupna intäkter: </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Enligt underlag i bokföringen 171 kr kvar från Riks att betala till Tranås </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9211 kr i lokalföreningsbidrag för 2023</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3419 extra bidrag 2022</w:t>
      </w:r>
    </w:p>
    <w:p w:rsidR="00000000" w:rsidDel="00000000" w:rsidP="00000000" w:rsidRDefault="00000000" w:rsidRPr="00000000" w14:paraId="0000006D">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1207 kr (LF bidrag 2022 minus skulder Tranås till riks 2023 på 8004 kr) → kvarvarande del av bidraget som ska betalas ut </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Minus 6402 kr (skulder 2024)</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 7606 kr </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